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rFonts w:ascii="Arial" w:hAnsi="Arial"/>
          <w:b/>
          <w:color w:val="1B365D"/>
          <w:sz w:val="44"/>
        </w:rPr>
        <w:t>IZVJEŠTAJ O ISTRAŽIVANJU</w:t>
      </w:r>
    </w:p>
    <w:p>
      <w:pPr>
        <w:spacing w:after="320"/>
      </w:pPr>
      <w:r>
        <w:rPr>
          <w:rFonts w:ascii="Arial" w:hAnsi="Arial"/>
          <w:color w:val="008080"/>
          <w:sz w:val="28"/>
        </w:rPr>
        <w:t>Čitalačke navike učenika završnih razreda Upravne škole Zagreb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F0F4F8"/>
            <w:tcBorders>
              <w:top w:val="none"/>
              <w:left w:val="single" w:sz="24" w:space="0" w:color="008080"/>
              <w:bottom w:val="none"/>
              <w:right w:val="none"/>
            </w:tcBorders>
          </w:tcPr>
          <w:p>
            <w:pPr>
              <w:spacing w:before="120" w:after="120"/>
              <w:ind w:left="144"/>
            </w:pPr>
            <w:r>
              <w:rPr>
                <w:b/>
              </w:rPr>
              <w:t xml:space="preserve">Autorica istraživanja: </w:t>
            </w:r>
            <w:r>
              <w:t>Sanja Šepac Dužević, prof.</w:t>
              <w:br/>
            </w:r>
            <w:r>
              <w:rPr>
                <w:b/>
              </w:rPr>
              <w:t xml:space="preserve">Vrijeme provođenja: </w:t>
            </w:r>
            <w:r>
              <w:t>travanj 2026. godine</w:t>
              <w:br/>
            </w:r>
            <w:r>
              <w:rPr>
                <w:b/>
              </w:rPr>
              <w:t xml:space="preserve">Ustanova: </w:t>
            </w:r>
            <w:r>
              <w:t>Upravna škola Zagreb</w:t>
            </w:r>
          </w:p>
        </w:tc>
      </w:tr>
    </w:tbl>
    <w:p>
      <w:pPr>
        <w:spacing w:after="240"/>
      </w:pPr>
    </w:p>
    <w:p>
      <w:pPr>
        <w:keepNext/>
        <w:spacing w:before="280" w:after="120"/>
      </w:pPr>
      <w:r>
        <w:rPr>
          <w:rFonts w:ascii="Arial" w:hAnsi="Arial"/>
          <w:b/>
          <w:color w:val="1B365D"/>
          <w:sz w:val="28"/>
        </w:rPr>
        <w:t>1. Uvod i metodologija</w:t>
      </w:r>
    </w:p>
    <w:p>
      <w:r>
        <w:t>Istraživanje je imalo za cilj analizirati čitalačke navike, motivaciju te stavove prema čitanju i slobodnom vremenu među maturantima, kao i ispitati utjecaj suvremene tehnologije (umjetne inteligencije) te školske okoline na njihovu čitalačku kulturu.</w:t>
      </w:r>
    </w:p>
    <w:p>
      <w:pPr>
        <w:pStyle w:val="ListBullet"/>
      </w:pPr>
      <w:r>
        <w:rPr>
          <w:b/>
        </w:rPr>
        <w:t xml:space="preserve">Vrijeme i uzorak: </w:t>
      </w:r>
      <w:r>
        <w:t>Istraživanje je provedeno u travnju 2026. godine putem anonimne ankete u pet razrednih odjela (3.b, 3.e, 4.a, 4.b, 4.e) Upravne škole Zagreb.</w:t>
      </w:r>
    </w:p>
    <w:p>
      <w:pPr>
        <w:pStyle w:val="ListBullet"/>
      </w:pPr>
      <w:r>
        <w:rPr>
          <w:b/>
        </w:rPr>
        <w:t xml:space="preserve">Obuhvat: </w:t>
      </w:r>
      <w:r>
        <w:t>Anketi se odazvalo ukupno 99 učenika (86,9 % učenica i 13,1 % učenika).</w:t>
      </w:r>
    </w:p>
    <w:p>
      <w:pPr>
        <w:pStyle w:val="ListBullet"/>
      </w:pPr>
      <w:r>
        <w:rPr>
          <w:b/>
        </w:rPr>
        <w:t xml:space="preserve">Instrument: </w:t>
      </w:r>
      <w:r>
        <w:t>Upitnik od 20 pitanja (otvorena i zatvorena pitanja, višestruki izbor, kratki odgovori).</w:t>
      </w:r>
    </w:p>
    <w:p>
      <w:pPr>
        <w:keepNext/>
        <w:spacing w:before="280" w:after="120"/>
      </w:pPr>
      <w:r>
        <w:rPr>
          <w:rFonts w:ascii="Arial" w:hAnsi="Arial"/>
          <w:b/>
          <w:color w:val="1B365D"/>
          <w:sz w:val="28"/>
        </w:rPr>
        <w:t>2. Analiza ključnih rezultata</w:t>
      </w:r>
    </w:p>
    <w:p>
      <w:pPr>
        <w:keepNext/>
        <w:spacing w:before="200" w:after="80"/>
      </w:pPr>
      <w:r>
        <w:rPr>
          <w:rFonts w:ascii="Arial" w:hAnsi="Arial"/>
          <w:b/>
          <w:color w:val="008080"/>
          <w:sz w:val="24"/>
        </w:rPr>
        <w:t>Slobodno vrijeme i učestalost čitanja</w:t>
      </w:r>
    </w:p>
    <w:p>
      <w:r>
        <w:t>Istraživanje ukazuje na to da nedostatak vremena nije primarni razlog slabe čitalačke aktivnosti:</w:t>
      </w:r>
    </w:p>
    <w:p>
      <w:pPr>
        <w:pStyle w:val="ListBullet"/>
      </w:pPr>
      <w:r>
        <w:rPr>
          <w:b/>
        </w:rPr>
        <w:t xml:space="preserve">Slobodno vrijeme: </w:t>
      </w:r>
      <w:r>
        <w:t>Većina učenika dnevno ima dovoljno slobodnog vremena — 36,4 % raspolaže s 2–3 sata, 27,3 % s 3–4 sata, a 20,2 % ima više od 5 sati slobodnog vremena dnevno.</w:t>
      </w:r>
    </w:p>
    <w:p>
      <w:pPr>
        <w:pStyle w:val="ListBullet"/>
      </w:pPr>
      <w:r>
        <w:rPr>
          <w:b/>
        </w:rPr>
        <w:t xml:space="preserve">Izvanškolsko čitanje: </w:t>
      </w:r>
      <w:r>
        <w:t>Čak 32,3 % učenika nikada ne čita knjige izvan obvezne školske lektire, dok 43,4 % čita rijetko. Samo 3 % učenika čita svakodnevno.</w:t>
      </w:r>
    </w:p>
    <w:p>
      <w:pPr>
        <w:pStyle w:val="ListBullet"/>
      </w:pPr>
      <w:r>
        <w:rPr>
          <w:b/>
        </w:rPr>
        <w:t xml:space="preserve">Godišnji prosjek: </w:t>
      </w:r>
      <w:r>
        <w:t>65,7 % učenika godišnje pročita samo 1 do 3 knjige, dok 8,1 % ne pročita niti jednu knjigu u godini.</w:t>
      </w:r>
    </w:p>
    <w:p>
      <w:pPr>
        <w:keepNext/>
        <w:spacing w:before="200" w:after="80"/>
      </w:pPr>
      <w:r>
        <w:rPr>
          <w:rFonts w:ascii="Arial" w:hAnsi="Arial"/>
          <w:b/>
          <w:color w:val="008080"/>
          <w:sz w:val="24"/>
        </w:rPr>
        <w:t>Odnos prema lektiri i načini obrade</w:t>
      </w:r>
    </w:p>
    <w:p>
      <w:r>
        <w:t>Postoji izražena nevoljkost prema čitanju cjelovitih lektirnih djela:</w:t>
      </w:r>
    </w:p>
    <w:p>
      <w:pPr>
        <w:pStyle w:val="ListBullet"/>
      </w:pPr>
      <w:r>
        <w:rPr>
          <w:b/>
        </w:rPr>
        <w:t xml:space="preserve">Čitanje u cijelosti: </w:t>
      </w:r>
      <w:r>
        <w:t>Svega 8,1 % učenika uvijek pročita lektiru u cijelosti, 14,1 % to učini nikada, dok je 47,5 % pročita samo ponekad.</w:t>
      </w:r>
    </w:p>
    <w:p>
      <w:pPr>
        <w:pStyle w:val="ListBullet"/>
      </w:pPr>
      <w:r>
        <w:rPr>
          <w:b/>
        </w:rPr>
        <w:t xml:space="preserve">Načini obrade lektire: </w:t>
      </w:r>
      <w:r>
        <w:t>Učenici najčešće pribjegavaju alternativnim metodama umjesto čitanja izvorne knjige: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6480"/>
            <w:shd w:fill="1B365D"/>
          </w:tcPr>
          <w:p>
            <w:r>
              <w:rPr>
                <w:b/>
                <w:color w:val="FFFFFF"/>
              </w:rPr>
              <w:t>Način obrade lektire</w:t>
            </w:r>
          </w:p>
        </w:tc>
        <w:tc>
          <w:tcPr>
            <w:tcW w:type="dxa" w:w="2880"/>
            <w:shd w:fill="1B365D"/>
          </w:tcPr>
          <w:p>
            <w:r>
              <w:rPr>
                <w:b/>
                <w:color w:val="FFFFFF"/>
              </w:rPr>
              <w:t>Udio učenika (%)</w:t>
            </w:r>
          </w:p>
        </w:tc>
      </w:tr>
      <w:tr>
        <w:tc>
          <w:tcPr>
            <w:tcW w:type="dxa" w:w="6480"/>
          </w:tcPr>
          <w:p>
            <w:r>
              <w:t>Čitanje sažetaka na internetu</w:t>
            </w:r>
          </w:p>
        </w:tc>
        <w:tc>
          <w:tcPr>
            <w:tcW w:type="dxa" w:w="2880"/>
          </w:tcPr>
          <w:p>
            <w:r>
              <w:t>38,4 %</w:t>
            </w:r>
          </w:p>
        </w:tc>
      </w:tr>
      <w:tr>
        <w:tc>
          <w:tcPr>
            <w:tcW w:type="dxa" w:w="6480"/>
            <w:shd w:fill="F0F4F8"/>
          </w:tcPr>
          <w:p>
            <w:r>
              <w:t>Gledanje video sadržaja</w:t>
            </w:r>
          </w:p>
        </w:tc>
        <w:tc>
          <w:tcPr>
            <w:tcW w:type="dxa" w:w="2880"/>
            <w:shd w:fill="F0F4F8"/>
          </w:tcPr>
          <w:p>
            <w:r>
              <w:t>24,2 %</w:t>
            </w:r>
          </w:p>
        </w:tc>
      </w:tr>
      <w:tr>
        <w:tc>
          <w:tcPr>
            <w:tcW w:type="dxa" w:w="6480"/>
          </w:tcPr>
          <w:p>
            <w:r>
              <w:t>Čitanje izvorne knjige</w:t>
            </w:r>
          </w:p>
        </w:tc>
        <w:tc>
          <w:tcPr>
            <w:tcW w:type="dxa" w:w="2880"/>
          </w:tcPr>
          <w:p>
            <w:r>
              <w:t>22,2 %</w:t>
            </w:r>
          </w:p>
        </w:tc>
      </w:tr>
      <w:tr>
        <w:tc>
          <w:tcPr>
            <w:tcW w:type="dxa" w:w="6480"/>
            <w:shd w:fill="F0F4F8"/>
          </w:tcPr>
          <w:p>
            <w:r>
              <w:t>Slušanje tuđih prepričavanja</w:t>
            </w:r>
          </w:p>
        </w:tc>
        <w:tc>
          <w:tcPr>
            <w:tcW w:type="dxa" w:w="2880"/>
            <w:shd w:fill="F0F4F8"/>
          </w:tcPr>
          <w:p>
            <w:r>
              <w:t>8,1 %</w:t>
            </w:r>
          </w:p>
        </w:tc>
      </w:tr>
      <w:tr>
        <w:tc>
          <w:tcPr>
            <w:tcW w:type="dxa" w:w="6480"/>
          </w:tcPr>
          <w:p>
            <w:r>
              <w:t>Korištenje AI alata (izravno za lektiru)</w:t>
            </w:r>
          </w:p>
        </w:tc>
        <w:tc>
          <w:tcPr>
            <w:tcW w:type="dxa" w:w="2880"/>
          </w:tcPr>
          <w:p>
            <w:r>
              <w:t>7,1 %</w:t>
            </w:r>
          </w:p>
        </w:tc>
      </w:tr>
    </w:tbl>
    <w:p>
      <w:pPr>
        <w:spacing w:after="120"/>
      </w:pPr>
    </w:p>
    <w:p>
      <w:pPr>
        <w:keepNext/>
        <w:spacing w:before="200" w:after="80"/>
      </w:pPr>
      <w:r>
        <w:rPr>
          <w:rFonts w:ascii="Arial" w:hAnsi="Arial"/>
          <w:b/>
          <w:color w:val="008080"/>
          <w:sz w:val="24"/>
        </w:rPr>
        <w:t>Formati i stavovi prema čitanju</w:t>
      </w:r>
    </w:p>
    <w:p>
      <w:pPr>
        <w:pStyle w:val="ListBullet"/>
      </w:pPr>
      <w:r>
        <w:rPr>
          <w:b/>
        </w:rPr>
        <w:t xml:space="preserve">Omiljeni format: </w:t>
      </w:r>
      <w:r>
        <w:t>Unatoč digitalnom dobu, tiskane knjige ubjedljivo vode (70,7 %). Slijede kratki online tekstovi (21,2 %), e-knjige (14,1 %) i audioknjige (13,1 %).</w:t>
      </w:r>
    </w:p>
    <w:p>
      <w:pPr>
        <w:pStyle w:val="ListBullet"/>
      </w:pPr>
      <w:r>
        <w:rPr>
          <w:b/>
        </w:rPr>
        <w:t xml:space="preserve">Doživljaj čitanja: </w:t>
      </w:r>
      <w:r>
        <w:t>Odgovori pokazuju oprečna stajališta — za 30,3 % čitanje je korisno za školu, za 29,3 % je opuštanje, ali za 28,3 % predstavlja obvezu, a za 26,3 % dosadu.</w:t>
      </w:r>
    </w:p>
    <w:p>
      <w:pPr>
        <w:pStyle w:val="ListBullet"/>
      </w:pPr>
      <w:r>
        <w:rPr>
          <w:b/>
        </w:rPr>
        <w:t xml:space="preserve">Prepreke: </w:t>
      </w:r>
      <w:r>
        <w:t>Glavni čimbenici koji odbijaju učenike od čitanja su „dosadne knjige” (29,3 %), školske obveze (21,2 %), utjecaj mobitela i društvenih mreža (16,2 %) te nedostatak vremena (15,2 %).</w:t>
      </w:r>
    </w:p>
    <w:p>
      <w:pPr>
        <w:keepNext/>
        <w:spacing w:before="200" w:after="80"/>
      </w:pPr>
      <w:r>
        <w:rPr>
          <w:rFonts w:ascii="Arial" w:hAnsi="Arial"/>
          <w:b/>
          <w:color w:val="008080"/>
          <w:sz w:val="24"/>
        </w:rPr>
        <w:t>Primjena umjetne inteligencije (AI)</w:t>
      </w:r>
    </w:p>
    <w:p>
      <w:r>
        <w:t>Učenici u značajnoj mjeri primjenjuju alate umjetne inteligencije za školske zadatke i obradu teksta:</w:t>
        <w:br/>
        <w:t>• Učestalost: 30,3 % koristi AI često, a 39,4 % ponekad (samo 5,1 % navodi da AI ne koristi nikada).</w:t>
        <w:br/>
        <w:t>• Svrha korištenja AI-ja:</w:t>
        <w:br/>
        <w:t xml:space="preserve">  - Objašnjenje djela: 50,5 %</w:t>
        <w:br/>
        <w:t xml:space="preserve">  - Analiza likova: 20,2 %</w:t>
        <w:br/>
        <w:t xml:space="preserve">  - Sažeci: 13,1 %</w:t>
        <w:br/>
        <w:t xml:space="preserve">  - Traženje citata: 9,1 %</w:t>
        <w:br/>
        <w:t xml:space="preserve">  - Pisanje eseja: 7,1 %</w:t>
      </w:r>
    </w:p>
    <w:p>
      <w:pPr>
        <w:keepNext/>
        <w:spacing w:before="280" w:after="120"/>
      </w:pPr>
      <w:r>
        <w:rPr>
          <w:rFonts w:ascii="Arial" w:hAnsi="Arial"/>
          <w:b/>
          <w:color w:val="1B365D"/>
          <w:sz w:val="28"/>
        </w:rPr>
        <w:t>3. Istaknuta književna djela i prijedlozi učenika</w:t>
      </w:r>
    </w:p>
    <w:p>
      <w:pPr>
        <w:pStyle w:val="ListBullet"/>
      </w:pPr>
      <w:r>
        <w:rPr>
          <w:b/>
        </w:rPr>
        <w:t xml:space="preserve">Djela s najvećim dojmom: </w:t>
      </w:r>
      <w:r>
        <w:t>Učenici najbolje reagiraju na djela sa snažnom psihološkom analizom i upečatljivom radnjom. Istaknuti su: Zločin i kazna (Dostojevski), Hamlet (Shakespeare), Preobrazba (Kafka), Gospoda Glembajevi (Krleža), Životinjska farma (Orwell), Harry Potter (Rowling) i Divlji konj (Prosenjak).</w:t>
      </w:r>
    </w:p>
    <w:p>
      <w:pPr>
        <w:pStyle w:val="ListBullet"/>
      </w:pPr>
      <w:r>
        <w:rPr>
          <w:b/>
        </w:rPr>
        <w:t>Prijedlozi za unapređenje nastave lektire:</w:t>
        <w:br/>
      </w:r>
    </w:p>
    <w:p>
      <w:pPr>
        <w:ind w:left="360"/>
      </w:pPr>
      <w:r>
        <w:t>1. Uvođenje modernijih i zanimljivijih djela bliskih iskustvima mladih.</w:t>
        <w:br/>
        <w:t>2. Mogućnost samostalnog izbora knjiga i manje usmjerenosti na ocjenjivanje.</w:t>
        <w:br/>
        <w:t>3. Interaktivniji rad: kvizovi, debate, grupni rad, radionice i gledanje filmskih adaptacija.</w:t>
      </w:r>
    </w:p>
    <w:p>
      <w:pPr>
        <w:keepNext/>
        <w:spacing w:before="280" w:after="120"/>
      </w:pPr>
      <w:r>
        <w:rPr>
          <w:rFonts w:ascii="Arial" w:hAnsi="Arial"/>
          <w:b/>
          <w:color w:val="1B365D"/>
          <w:sz w:val="28"/>
        </w:rPr>
        <w:t>4. Zaključak</w:t>
      </w:r>
    </w:p>
    <w:p>
      <w:r>
        <w:t>Rezultati pokazuju nesrazmjer između svijesti o koristima čitanja i stvarnog ponašanja maturanata. Čitalačke navike izvan škole su skromne, a lektira se često doživljava kao nametnuta obveza čijem se izvršavanju pristupa traženjem skraćenih puteva (sažeci, AI, videoisječci).</w:t>
        <w:br/>
        <w:br/>
        <w:t>Da bi se potaknula kultura čitanja, nužna je modernizacija nastavnog pristupa kroz fleksibilniji odabir građe i kreativnije oblike nastave koji potiču kritičko razmišljanje, a ne puku reprodukciju sadržaja.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20"/>
    </w:pPr>
    <w:rPr>
      <w:rFonts w:ascii="Calibri" w:hAnsi="Calibri"/>
      <w:color w:val="222222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